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6D6EF8" w:rsidP="006D6EF8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rPr>
          <w:b/>
          <w:u w:val="single"/>
        </w:rPr>
        <w:t>MARQUEURS BIOCHIMIQUES DU REMODELAGE OSSEUX</w:t>
      </w:r>
    </w:p>
    <w:p w:rsidR="006D6EF8" w:rsidRDefault="006D6EF8" w:rsidP="006D6EF8">
      <w:pPr>
        <w:spacing w:after="0" w:line="240" w:lineRule="auto"/>
        <w:rPr>
          <w:b/>
          <w:u w:val="single"/>
        </w:rPr>
      </w:pPr>
    </w:p>
    <w:p w:rsidR="006D6EF8" w:rsidRDefault="006D6EF8" w:rsidP="006D6EF8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Le tissu osseux</w:t>
      </w:r>
    </w:p>
    <w:p w:rsidR="006D6EF8" w:rsidRDefault="006D6EF8" w:rsidP="006D6EF8">
      <w:pPr>
        <w:spacing w:after="0" w:line="240" w:lineRule="auto"/>
      </w:pPr>
      <w:r>
        <w:t xml:space="preserve">= tissu spécialisé qui supporte diverses </w:t>
      </w:r>
      <w:proofErr w:type="spellStart"/>
      <w:r>
        <w:t>fct</w:t>
      </w:r>
      <w:proofErr w:type="spellEnd"/>
      <w:r>
        <w:t> : soutien du corps humain, homéostasie phosphocalcique, réservoir Ca et Phosphore</w:t>
      </w:r>
    </w:p>
    <w:p w:rsidR="006D6EF8" w:rsidRDefault="006D6EF8" w:rsidP="006D6EF8">
      <w:pPr>
        <w:spacing w:after="0" w:line="240" w:lineRule="auto"/>
      </w:pPr>
      <w:r>
        <w:t xml:space="preserve">       -&gt;on a donc un remodelage du TO permanent</w:t>
      </w:r>
    </w:p>
    <w:p w:rsidR="006D6EF8" w:rsidRDefault="006D6EF8" w:rsidP="006D6EF8">
      <w:pPr>
        <w:spacing w:after="0" w:line="240" w:lineRule="auto"/>
      </w:pPr>
      <w:r>
        <w:t xml:space="preserve">2 types </w:t>
      </w:r>
      <w:proofErr w:type="spellStart"/>
      <w:r w:rsidR="00E97E8A">
        <w:t>histo</w:t>
      </w:r>
      <w:proofErr w:type="spellEnd"/>
      <w:r w:rsidR="00E97E8A">
        <w:t xml:space="preserve"> : os cortical 90%  et  os </w:t>
      </w:r>
      <w:proofErr w:type="spellStart"/>
      <w:r w:rsidR="00E97E8A">
        <w:t>trabéculaire</w:t>
      </w:r>
      <w:proofErr w:type="spellEnd"/>
      <w:r w:rsidR="00E97E8A">
        <w:t xml:space="preserve"> 10%</w:t>
      </w:r>
    </w:p>
    <w:p w:rsidR="00E97E8A" w:rsidRDefault="00E97E8A" w:rsidP="006D6EF8">
      <w:pPr>
        <w:spacing w:after="0" w:line="240" w:lineRule="auto"/>
      </w:pPr>
      <w:r>
        <w:t xml:space="preserve">Composition : </w:t>
      </w:r>
      <w:proofErr w:type="spellStart"/>
      <w:r>
        <w:t>cell</w:t>
      </w:r>
      <w:proofErr w:type="spellEnd"/>
      <w:r>
        <w:t xml:space="preserve"> osseuses 5% = ostéoblastes : formation des travées osseuses, dérivent des </w:t>
      </w:r>
      <w:proofErr w:type="spellStart"/>
      <w:r>
        <w:t>cell</w:t>
      </w:r>
      <w:proofErr w:type="spellEnd"/>
      <w:r>
        <w:t xml:space="preserve"> mésenchymateuses </w:t>
      </w:r>
    </w:p>
    <w:p w:rsidR="00E97E8A" w:rsidRDefault="00E97E8A" w:rsidP="00E97E8A">
      <w:pPr>
        <w:spacing w:after="0" w:line="240" w:lineRule="auto"/>
        <w:ind w:left="2124" w:firstLine="708"/>
      </w:pPr>
      <w:r>
        <w:t xml:space="preserve">   </w:t>
      </w:r>
      <w:proofErr w:type="gramStart"/>
      <w:r>
        <w:t>ostéoclastes</w:t>
      </w:r>
      <w:proofErr w:type="gramEnd"/>
      <w:r>
        <w:t xml:space="preserve"> :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déstructrices</w:t>
      </w:r>
      <w:proofErr w:type="spellEnd"/>
      <w:r>
        <w:t xml:space="preserve"> = résorption de l’os, dérivent des monocytes-macrophages</w:t>
      </w:r>
      <w:r>
        <w:tab/>
      </w:r>
    </w:p>
    <w:p w:rsidR="00E97E8A" w:rsidRDefault="00E97E8A" w:rsidP="00E97E8A">
      <w:pPr>
        <w:spacing w:after="0" w:line="240" w:lineRule="auto"/>
        <w:ind w:firstLine="708"/>
      </w:pPr>
      <w:r>
        <w:t xml:space="preserve">           MEC 95% =  ph organique 35% : </w:t>
      </w:r>
      <w:r w:rsidR="00F45B78">
        <w:t xml:space="preserve">  </w:t>
      </w:r>
      <w:r>
        <w:t xml:space="preserve">collagène type I : riche en glycine, proline, </w:t>
      </w:r>
      <w:proofErr w:type="spellStart"/>
      <w:r>
        <w:t>hydroxyproline</w:t>
      </w:r>
      <w:proofErr w:type="spellEnd"/>
      <w:r>
        <w:t xml:space="preserve"> et </w:t>
      </w:r>
      <w:proofErr w:type="spellStart"/>
      <w:r>
        <w:t>hydroxylisine</w:t>
      </w:r>
      <w:proofErr w:type="spellEnd"/>
    </w:p>
    <w:p w:rsidR="00E97E8A" w:rsidRDefault="00E97E8A" w:rsidP="00E97E8A">
      <w:pPr>
        <w:spacing w:after="0" w:line="240" w:lineRule="auto"/>
        <w:ind w:firstLine="708"/>
      </w:pPr>
      <w:r>
        <w:tab/>
      </w:r>
      <w:r>
        <w:tab/>
      </w:r>
      <w:r>
        <w:tab/>
        <w:t xml:space="preserve">Collagène = pro la plus abondante de l’organisme, non spé au TO  (aussi TC, T </w:t>
      </w:r>
      <w:proofErr w:type="spellStart"/>
      <w:r>
        <w:t>carti</w:t>
      </w:r>
      <w:proofErr w:type="spellEnd"/>
      <w:r>
        <w:t xml:space="preserve">,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endo</w:t>
      </w:r>
      <w:proofErr w:type="spellEnd"/>
      <w:r>
        <w:t>)</w:t>
      </w:r>
    </w:p>
    <w:p w:rsidR="00E97E8A" w:rsidRDefault="00F45B78" w:rsidP="00F45B78">
      <w:pPr>
        <w:spacing w:after="0" w:line="240" w:lineRule="auto"/>
        <w:ind w:left="3540"/>
      </w:pPr>
      <w:r>
        <w:t xml:space="preserve">              </w:t>
      </w:r>
      <w:proofErr w:type="spellStart"/>
      <w:proofErr w:type="gramStart"/>
      <w:r w:rsidR="00E97E8A">
        <w:t>ostéocalcine</w:t>
      </w:r>
      <w:proofErr w:type="spellEnd"/>
      <w:proofErr w:type="gramEnd"/>
      <w:r w:rsidR="00E97E8A">
        <w:t xml:space="preserve"> : synthé par ostéoblaste = spécificité +++, </w:t>
      </w:r>
      <w:proofErr w:type="spellStart"/>
      <w:r>
        <w:t>incorpo</w:t>
      </w:r>
      <w:proofErr w:type="spellEnd"/>
      <w:r>
        <w:t xml:space="preserve"> à matrice osseuse</w:t>
      </w:r>
      <w:r w:rsidR="00E97E8A">
        <w:t xml:space="preserve"> </w:t>
      </w:r>
    </w:p>
    <w:p w:rsidR="00E97E8A" w:rsidRDefault="00F45B78" w:rsidP="00F45B78">
      <w:pPr>
        <w:spacing w:after="0" w:line="240" w:lineRule="auto"/>
        <w:ind w:left="2832" w:firstLine="708"/>
      </w:pPr>
      <w:r>
        <w:t xml:space="preserve">              </w:t>
      </w:r>
      <w:proofErr w:type="spellStart"/>
      <w:proofErr w:type="gramStart"/>
      <w:r w:rsidR="00E97E8A">
        <w:t>ostéonectine</w:t>
      </w:r>
      <w:proofErr w:type="spellEnd"/>
      <w:proofErr w:type="gramEnd"/>
      <w:r>
        <w:t> </w:t>
      </w:r>
      <w:r w:rsidR="00E97E8A">
        <w:t xml:space="preserve">        </w:t>
      </w:r>
    </w:p>
    <w:p w:rsidR="00E97E8A" w:rsidRDefault="00E97E8A" w:rsidP="00E97E8A">
      <w:pPr>
        <w:spacing w:after="0" w:line="240" w:lineRule="auto"/>
        <w:ind w:left="1416" w:firstLine="708"/>
      </w:pPr>
      <w:r>
        <w:t xml:space="preserve">    </w:t>
      </w:r>
      <w:proofErr w:type="gramStart"/>
      <w:r>
        <w:t>ph</w:t>
      </w:r>
      <w:proofErr w:type="gramEnd"/>
      <w:r>
        <w:t xml:space="preserve"> minérale : cristaux </w:t>
      </w:r>
      <w:proofErr w:type="spellStart"/>
      <w:r>
        <w:t>hydroxyapatite</w:t>
      </w:r>
      <w:proofErr w:type="spellEnd"/>
      <w:r w:rsidR="00F45B78">
        <w:t xml:space="preserve"> riche en Ca et Ph</w:t>
      </w:r>
    </w:p>
    <w:p w:rsidR="00F45B78" w:rsidRDefault="00F45B78" w:rsidP="00E97E8A">
      <w:pPr>
        <w:spacing w:after="0" w:line="240" w:lineRule="auto"/>
        <w:ind w:left="1416" w:firstLine="708"/>
      </w:pPr>
      <w:r>
        <w:tab/>
      </w:r>
      <w:r>
        <w:tab/>
      </w:r>
      <w:proofErr w:type="gramStart"/>
      <w:r>
        <w:t>impliquée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la minéralisation de la matrice osseuse </w:t>
      </w:r>
    </w:p>
    <w:p w:rsidR="00F45B78" w:rsidRDefault="00F45B78" w:rsidP="00F45B78">
      <w:pPr>
        <w:spacing w:after="0" w:line="240" w:lineRule="auto"/>
        <w:ind w:left="4956" w:firstLine="708"/>
      </w:pPr>
      <w:proofErr w:type="gramStart"/>
      <w:r>
        <w:t>grâce</w:t>
      </w:r>
      <w:proofErr w:type="gramEnd"/>
      <w:r>
        <w:t xml:space="preserve"> à phosphatase alcaline osseuse (synthé par ostéoblastes)</w:t>
      </w:r>
    </w:p>
    <w:p w:rsidR="00F45B78" w:rsidRDefault="00F45B78" w:rsidP="00F45B78">
      <w:pPr>
        <w:spacing w:after="0" w:line="240" w:lineRule="auto"/>
      </w:pPr>
      <w:r>
        <w:t xml:space="preserve">Conséquence de cette structure : rigidité du squelette, </w:t>
      </w:r>
      <w:proofErr w:type="spellStart"/>
      <w:r>
        <w:t>fct</w:t>
      </w:r>
      <w:proofErr w:type="spellEnd"/>
      <w:r>
        <w:t xml:space="preserve"> mécaniques de l’os, homéostasie phosphocalcique de l’organisme</w:t>
      </w:r>
    </w:p>
    <w:p w:rsidR="00F45B78" w:rsidRDefault="00F45B78" w:rsidP="00F45B78">
      <w:pPr>
        <w:spacing w:after="0" w:line="240" w:lineRule="auto"/>
      </w:pPr>
    </w:p>
    <w:p w:rsidR="00F45B78" w:rsidRDefault="00F45B78" w:rsidP="00F45B78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La régulation du remodelage osseux</w:t>
      </w:r>
    </w:p>
    <w:p w:rsidR="00F45B78" w:rsidRDefault="00F45B78" w:rsidP="00F45B78">
      <w:pPr>
        <w:spacing w:after="0" w:line="240" w:lineRule="auto"/>
      </w:pPr>
      <w:r>
        <w:t xml:space="preserve">   • Les hormones systémiques</w:t>
      </w:r>
    </w:p>
    <w:p w:rsidR="00F45B78" w:rsidRDefault="00F45B78" w:rsidP="00F45B78">
      <w:pPr>
        <w:spacing w:after="0" w:line="240" w:lineRule="auto"/>
      </w:pPr>
      <w:r>
        <w:t>Régulation positive de la résorption osseuse :</w:t>
      </w:r>
      <w:r>
        <w:tab/>
      </w:r>
      <w:proofErr w:type="spellStart"/>
      <w:r>
        <w:t>calcitriol</w:t>
      </w:r>
      <w:proofErr w:type="spellEnd"/>
      <w:r>
        <w:t xml:space="preserve"> = 1,25 OH vit D</w:t>
      </w:r>
    </w:p>
    <w:p w:rsidR="00F45B78" w:rsidRDefault="00F45B78" w:rsidP="00F45B78">
      <w:pPr>
        <w:spacing w:after="0" w:line="240" w:lineRule="auto"/>
      </w:pPr>
      <w:r>
        <w:tab/>
      </w:r>
      <w:r>
        <w:tab/>
        <w:t xml:space="preserve">-&gt;origine = action des UV sur 7 </w:t>
      </w:r>
      <w:proofErr w:type="spellStart"/>
      <w:r>
        <w:t>dehydrocholé</w:t>
      </w:r>
      <w:proofErr w:type="spellEnd"/>
      <w:r>
        <w:t xml:space="preserve"> de la peau   et origine alim</w:t>
      </w:r>
    </w:p>
    <w:p w:rsidR="00F45B78" w:rsidRDefault="00F45B78" w:rsidP="00F45B7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parathormone</w:t>
      </w:r>
      <w:proofErr w:type="gramEnd"/>
      <w:r>
        <w:t xml:space="preserve"> = PTH     -&gt;origine = parathyroïde (</w:t>
      </w:r>
      <w:proofErr w:type="spellStart"/>
      <w:r>
        <w:t>prépro</w:t>
      </w:r>
      <w:proofErr w:type="spellEnd"/>
      <w:r>
        <w:t>-PTH)</w:t>
      </w:r>
    </w:p>
    <w:p w:rsidR="00DA3FD9" w:rsidRDefault="00DA3FD9" w:rsidP="00F45B78">
      <w:pPr>
        <w:spacing w:after="0" w:line="240" w:lineRule="auto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65.55pt;margin-top:5.75pt;width:301.5pt;height:177pt;z-index:251659264">
            <v:textbox>
              <w:txbxContent>
                <w:p w:rsidR="00DA3FD9" w:rsidRDefault="00DA3FD9">
                  <w:r w:rsidRPr="00DA3FD9">
                    <w:drawing>
                      <wp:inline distT="0" distB="0" distL="0" distR="0">
                        <wp:extent cx="3686175" cy="2200275"/>
                        <wp:effectExtent l="19050" t="0" r="0" b="0"/>
                        <wp:docPr id="3" name="Objet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8937625" cy="6192838"/>
                                  <a:chOff x="171450" y="260350"/>
                                  <a:chExt cx="8937625" cy="6192838"/>
                                </a:xfrm>
                              </a:grpSpPr>
                              <a:grpSp>
                                <a:nvGrpSpPr>
                                  <a:cNvPr id="40969" name="Group 9"/>
                                  <a:cNvGrpSpPr>
                                    <a:grpSpLocks/>
                                  </a:cNvGrpSpPr>
                                </a:nvGrpSpPr>
                                <a:grpSpPr bwMode="auto">
                                  <a:xfrm>
                                    <a:off x="171450" y="260350"/>
                                    <a:ext cx="8937625" cy="6192838"/>
                                    <a:chOff x="108" y="164"/>
                                    <a:chExt cx="5630" cy="3901"/>
                                  </a:xfrm>
                                </a:grpSpPr>
                                <a:grpSp>
                                  <a:nvGrpSpPr>
                                    <a:cNvPr id="3" name="Group 7"/>
                                    <a:cNvGrpSpPr>
                                      <a:grpSpLocks/>
                                    </a:cNvGrpSpPr>
                                  </a:nvGrpSpPr>
                                  <a:grpSpPr bwMode="auto">
                                    <a:xfrm>
                                      <a:off x="108" y="164"/>
                                      <a:ext cx="5630" cy="3901"/>
                                      <a:chOff x="108" y="164"/>
                                      <a:chExt cx="5630" cy="3901"/>
                                    </a:xfrm>
                                  </a:grpSpPr>
                                  <a:pic>
                                    <a:nvPicPr>
                                      <a:cNvPr id="0" name="Object 2"/>
                                      <a:cNvPicPr>
                                        <a:picLocks noChangeAspect="1" noChangeArrowheads="1"/>
                                      </a:cNvPicPr>
                                    </a:nvPicPr>
                                    <a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a:blipFill>
                                    <a:spPr bwMode="auto">
                                      <a:xfrm>
                                        <a:off x="0" y="0"/>
                                        <a:ext cx="6350" cy="476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</a:spPr>
                                  </a:pic>
                                  <a:sp>
                                    <a:nvSpPr>
                                      <a:cNvPr id="40966" name="Rectangle 6"/>
                                      <a:cNvSpPr>
                                        <a:spLocks noChangeArrowheads="1"/>
                                      </a:cNvSpPr>
                                    </a:nvSpPr>
                                    <a:spPr bwMode="auto">
                                      <a:xfrm>
                                        <a:off x="4613" y="300"/>
                                        <a:ext cx="1111" cy="454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9525">
                                        <a:solidFill>
                                          <a:schemeClr val="bg1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</a:spPr>
                                    <a:txSp>
                                      <a:txBody>
                                        <a:bodyPr wrap="none" anchor="ctr"/>
                                        <a:lstStyle>
                                          <a:defPPr>
                                            <a:defRPr lang="fr-FR"/>
                                          </a:defPPr>
                                          <a:lvl1pPr algn="l" rtl="0" fontAlgn="base">
                                            <a:spcBef>
                                              <a:spcPct val="0"/>
                                            </a:spcBef>
                                            <a:spcAft>
                                              <a:spcPct val="0"/>
                                            </a:spcAft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rtl="0" fontAlgn="base">
                                            <a:spcBef>
                                              <a:spcPct val="0"/>
                                            </a:spcBef>
                                            <a:spcAft>
                                              <a:spcPct val="0"/>
                                            </a:spcAft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rtl="0" fontAlgn="base">
                                            <a:spcBef>
                                              <a:spcPct val="0"/>
                                            </a:spcBef>
                                            <a:spcAft>
                                              <a:spcPct val="0"/>
                                            </a:spcAft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rtl="0" fontAlgn="base">
                                            <a:spcBef>
                                              <a:spcPct val="0"/>
                                            </a:spcBef>
                                            <a:spcAft>
                                              <a:spcPct val="0"/>
                                            </a:spcAft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rtl="0" fontAlgn="base">
                                            <a:spcBef>
                                              <a:spcPct val="0"/>
                                            </a:spcBef>
                                            <a:spcAft>
                                              <a:spcPct val="0"/>
                                            </a:spcAft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2000" kern="1200">
                                              <a:solidFill>
                                                <a:schemeClr val="tx1"/>
                                              </a:solidFill>
                                              <a:latin typeface="Arial" charset="0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endParaRPr lang="fr-FR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40968" name="Rectangle 8"/>
                                    <a:cNvSpPr>
                                      <a:spLocks noChangeArrowheads="1"/>
                                    </a:cNvSpPr>
                                  </a:nvSpPr>
                                  <a:spPr bwMode="auto">
                                    <a:xfrm>
                                      <a:off x="145" y="1298"/>
                                      <a:ext cx="295" cy="45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9525">
                                      <a:solidFill>
                                        <a:schemeClr val="bg1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a:spPr>
                                  <a:txSp>
                                    <a:txBody>
                                      <a:bodyPr wrap="none" anchor="ctr"/>
                                      <a:lstStyle>
                                        <a:defPPr>
                                          <a:defRPr lang="fr-FR"/>
                                        </a:defPPr>
                                        <a:lvl1pPr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rtl="0" fontAlgn="base">
                                          <a:spcBef>
                                            <a:spcPct val="0"/>
                                          </a:spcBef>
                                          <a:spcAft>
                                            <a:spcPct val="0"/>
                                          </a:spcAft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2000" kern="1200">
                                            <a:solidFill>
                                              <a:schemeClr val="tx1"/>
                                            </a:solidFill>
                                            <a:latin typeface="Arial" charset="0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endParaRPr lang="fr-FR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  <a:sp>
                                <a:nvSpPr>
                                  <a:cNvPr id="40970" name="Text Box 10"/>
                                  <a:cNvSpPr txBox="1"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1258888" y="1052513"/>
                                    <a:ext cx="381000" cy="396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</a:spPr>
                                <a:txSp>
                                  <a:txBody>
                                    <a:bodyPr wrap="none">
                                      <a:spAutoFit/>
                                    </a:bodyPr>
                                    <a:lstStyle>
                                      <a:defPPr>
                                        <a:defRPr lang="fr-FR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r>
                                        <a:rPr lang="fr-FR">
                                          <a:sym typeface="Wingdings" pitchFamily="-108" charset="2"/>
                                        </a:rPr>
                                        <a:t>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A3FD9">
        <w:drawing>
          <wp:inline distT="0" distB="0" distL="0" distR="0">
            <wp:extent cx="3333750" cy="2324100"/>
            <wp:effectExtent l="19050" t="0" r="0" b="0"/>
            <wp:docPr id="4" name="Obje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18487" cy="5475288"/>
                      <a:chOff x="611188" y="765175"/>
                      <a:chExt cx="8218487" cy="5475288"/>
                    </a:xfrm>
                  </a:grpSpPr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11188" y="765175"/>
                        <a:ext cx="8218487" cy="54752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38918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219200" y="1519238"/>
                        <a:ext cx="184150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0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FR">
                              <a:sym typeface="Wingdings" pitchFamily="-108" charset="2"/>
                            </a:rPr>
                            <a:t>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A3FD9" w:rsidRDefault="00DA3FD9" w:rsidP="00DA3FD9">
      <w:pPr>
        <w:spacing w:after="0" w:line="240" w:lineRule="auto"/>
      </w:pPr>
      <w:r>
        <w:t>Régulation négative de la résorption osseuse :</w:t>
      </w:r>
      <w:r>
        <w:tab/>
        <w:t xml:space="preserve">Calcitonine = synthé par </w:t>
      </w:r>
      <w:proofErr w:type="spellStart"/>
      <w:r>
        <w:t>cell</w:t>
      </w:r>
      <w:proofErr w:type="spellEnd"/>
      <w:r>
        <w:t xml:space="preserve"> claires de la thyroïde</w:t>
      </w:r>
    </w:p>
    <w:p w:rsidR="00DA3FD9" w:rsidRDefault="00DA3FD9" w:rsidP="00DA3FD9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Oestrogènes</w:t>
      </w:r>
      <w:proofErr w:type="spellEnd"/>
      <w:r>
        <w:t xml:space="preserve"> -&gt; </w:t>
      </w:r>
      <w:proofErr w:type="spellStart"/>
      <w:r>
        <w:t>apoptose</w:t>
      </w:r>
      <w:proofErr w:type="spellEnd"/>
      <w:r>
        <w:t xml:space="preserve"> des ostéoclastes </w:t>
      </w:r>
    </w:p>
    <w:p w:rsidR="00046836" w:rsidRPr="00DA3FD9" w:rsidRDefault="00046836" w:rsidP="00046836">
      <w:pPr>
        <w:spacing w:after="0" w:line="240" w:lineRule="auto"/>
      </w:pPr>
      <w:r>
        <w:t xml:space="preserve">Attention : absence de contrôle de la sécrétion des hormones par des centres supérieurs (hypophyse, </w:t>
      </w:r>
      <w:proofErr w:type="spellStart"/>
      <w:r>
        <w:t>hypothala</w:t>
      </w:r>
      <w:proofErr w:type="spellEnd"/>
      <w:r>
        <w:t>, SNC)</w:t>
      </w:r>
    </w:p>
    <w:p w:rsidR="00046836" w:rsidRDefault="00046836" w:rsidP="00DA3FD9">
      <w:pPr>
        <w:spacing w:after="0" w:line="240" w:lineRule="auto"/>
      </w:pPr>
    </w:p>
    <w:p w:rsidR="00DA3FD9" w:rsidRDefault="00DA3FD9" w:rsidP="00DA3FD9">
      <w:pPr>
        <w:spacing w:after="0" w:line="240" w:lineRule="auto"/>
      </w:pPr>
      <w:r>
        <w:t xml:space="preserve">   • Régulation par des facteurs locaux</w:t>
      </w:r>
    </w:p>
    <w:p w:rsidR="00DA3FD9" w:rsidRDefault="00DA3FD9" w:rsidP="00DA3FD9">
      <w:pPr>
        <w:spacing w:after="0" w:line="240" w:lineRule="auto"/>
      </w:pPr>
      <w:r>
        <w:t>Rés</w:t>
      </w:r>
      <w:r w:rsidR="00046836">
        <w:t xml:space="preserve">orption osseuse </w:t>
      </w:r>
      <w:proofErr w:type="spellStart"/>
      <w:r w:rsidR="00046836">
        <w:t>ostéocalcique</w:t>
      </w:r>
      <w:proofErr w:type="spellEnd"/>
      <w:r w:rsidR="00046836">
        <w:t xml:space="preserve"> : cytokines, GF -&gt; </w:t>
      </w:r>
      <w:proofErr w:type="spellStart"/>
      <w:r w:rsidR="00046836">
        <w:t>prolif</w:t>
      </w:r>
      <w:proofErr w:type="spellEnd"/>
      <w:r w:rsidR="00046836">
        <w:t xml:space="preserve"> des précurseurs des ostéoclastes</w:t>
      </w:r>
    </w:p>
    <w:p w:rsidR="00046836" w:rsidRDefault="00046836" w:rsidP="00DA3FD9">
      <w:pPr>
        <w:spacing w:after="0" w:line="240" w:lineRule="auto"/>
      </w:pPr>
      <w:r>
        <w:t xml:space="preserve">Formation osseuse </w:t>
      </w:r>
      <w:proofErr w:type="spellStart"/>
      <w:r>
        <w:t>ostéoblastique</w:t>
      </w:r>
      <w:proofErr w:type="spellEnd"/>
      <w:r>
        <w:t xml:space="preserve"> : TGF -&gt; différentiation des ostéoblastes et </w:t>
      </w:r>
      <w:proofErr w:type="spellStart"/>
      <w:r>
        <w:t>apoptose</w:t>
      </w:r>
      <w:proofErr w:type="spellEnd"/>
      <w:r>
        <w:t xml:space="preserve"> des ostéoclastes</w:t>
      </w:r>
    </w:p>
    <w:p w:rsidR="00046836" w:rsidRDefault="00046836" w:rsidP="00DA3FD9">
      <w:pPr>
        <w:spacing w:after="0" w:line="240" w:lineRule="auto"/>
      </w:pPr>
    </w:p>
    <w:p w:rsidR="00046836" w:rsidRDefault="00046836" w:rsidP="00046836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Les marqueurs </w:t>
      </w:r>
      <w:proofErr w:type="spellStart"/>
      <w:r>
        <w:rPr>
          <w:b/>
        </w:rPr>
        <w:t>bioch</w:t>
      </w:r>
      <w:proofErr w:type="spellEnd"/>
      <w:r>
        <w:rPr>
          <w:b/>
        </w:rPr>
        <w:t xml:space="preserve"> du remodelage osseux</w:t>
      </w:r>
    </w:p>
    <w:p w:rsidR="00046836" w:rsidRDefault="00046836" w:rsidP="00046836">
      <w:pPr>
        <w:spacing w:after="0" w:line="240" w:lineRule="auto"/>
      </w:pPr>
      <w:r>
        <w:t>Ils peuvent être : composés libérés de la matrice lors de la résorption ou de la formation osseuse</w:t>
      </w:r>
    </w:p>
    <w:p w:rsidR="00046836" w:rsidRDefault="00046836" w:rsidP="00046836">
      <w:pPr>
        <w:spacing w:after="0" w:line="240" w:lineRule="auto"/>
      </w:pPr>
      <w:r>
        <w:tab/>
      </w:r>
      <w:r>
        <w:tab/>
        <w:t xml:space="preserve">   </w:t>
      </w:r>
      <w:proofErr w:type="gramStart"/>
      <w:r>
        <w:t>une</w:t>
      </w:r>
      <w:proofErr w:type="gramEnd"/>
      <w:r>
        <w:t xml:space="preserve"> </w:t>
      </w:r>
      <w:proofErr w:type="spellStart"/>
      <w:r>
        <w:t>acti</w:t>
      </w:r>
      <w:proofErr w:type="spellEnd"/>
      <w:r>
        <w:t xml:space="preserve"> enzymatique </w:t>
      </w:r>
      <w:proofErr w:type="spellStart"/>
      <w:r>
        <w:t>spéci</w:t>
      </w:r>
      <w:proofErr w:type="spellEnd"/>
      <w:r>
        <w:t xml:space="preserve"> des ostéoblastes ou ostéoclastes</w:t>
      </w:r>
    </w:p>
    <w:p w:rsidR="00046836" w:rsidRDefault="00046836" w:rsidP="00046836">
      <w:pPr>
        <w:spacing w:after="0" w:line="240" w:lineRule="auto"/>
      </w:pPr>
      <w:r>
        <w:tab/>
      </w:r>
      <w:r>
        <w:tab/>
        <w:t xml:space="preserve">   </w:t>
      </w:r>
      <w:proofErr w:type="gramStart"/>
      <w:r>
        <w:t>l’indice</w:t>
      </w:r>
      <w:proofErr w:type="gramEnd"/>
      <w:r>
        <w:t xml:space="preserve"> de vitesse du renouvellement osseux  (squelette entier)</w:t>
      </w:r>
    </w:p>
    <w:p w:rsidR="00046836" w:rsidRDefault="00046836" w:rsidP="00046836">
      <w:pPr>
        <w:spacing w:after="0" w:line="240" w:lineRule="auto"/>
      </w:pPr>
      <w:r>
        <w:t>Le remodelage osseux est évalué de manière simple et non invasive par ≠ paramètres biologiques</w:t>
      </w:r>
    </w:p>
    <w:p w:rsidR="00046836" w:rsidRDefault="00046836" w:rsidP="00046836">
      <w:pPr>
        <w:spacing w:after="0" w:line="240" w:lineRule="auto"/>
      </w:pPr>
    </w:p>
    <w:p w:rsidR="00046836" w:rsidRDefault="00046836" w:rsidP="00046836">
      <w:pPr>
        <w:spacing w:after="0" w:line="240" w:lineRule="auto"/>
      </w:pPr>
      <w:r>
        <w:t xml:space="preserve">   • Marqueurs </w:t>
      </w:r>
      <w:proofErr w:type="spellStart"/>
      <w:r>
        <w:t>bioch</w:t>
      </w:r>
      <w:proofErr w:type="spellEnd"/>
      <w:r>
        <w:t xml:space="preserve"> de la formation osseuse</w:t>
      </w:r>
    </w:p>
    <w:p w:rsidR="00046836" w:rsidRDefault="00046836" w:rsidP="00046836">
      <w:pPr>
        <w:spacing w:after="0" w:line="240" w:lineRule="auto"/>
      </w:pPr>
      <w:r>
        <w:t xml:space="preserve">Phosphatase alcaline totale : peu </w:t>
      </w:r>
      <w:proofErr w:type="spellStart"/>
      <w:r>
        <w:t>spéci</w:t>
      </w:r>
      <w:proofErr w:type="spellEnd"/>
      <w:r>
        <w:t xml:space="preserve"> (os, foie, intestin, rein, placenta) et peu sensible</w:t>
      </w:r>
    </w:p>
    <w:p w:rsidR="00046836" w:rsidRDefault="001F05E7" w:rsidP="00046836">
      <w:pPr>
        <w:spacing w:after="0" w:line="240" w:lineRule="auto"/>
      </w:pPr>
      <w:r>
        <w:t>P</w:t>
      </w:r>
      <w:r w:rsidR="00046836">
        <w:t xml:space="preserve">hosphatase alcaline osseuse : </w:t>
      </w:r>
      <w:proofErr w:type="spellStart"/>
      <w:r w:rsidR="00046836">
        <w:t>spéci</w:t>
      </w:r>
      <w:proofErr w:type="spellEnd"/>
      <w:r w:rsidR="00046836">
        <w:t xml:space="preserve"> = reflet</w:t>
      </w:r>
      <w:r>
        <w:t xml:space="preserve"> du statut </w:t>
      </w:r>
      <w:proofErr w:type="spellStart"/>
      <w:r>
        <w:t>métabo</w:t>
      </w:r>
      <w:proofErr w:type="spellEnd"/>
      <w:r>
        <w:t xml:space="preserve"> des ostéoblastes</w:t>
      </w:r>
    </w:p>
    <w:p w:rsidR="001F05E7" w:rsidRDefault="001F05E7" w:rsidP="00046836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technique</w:t>
      </w:r>
      <w:proofErr w:type="gramEnd"/>
      <w:r>
        <w:t xml:space="preserve"> </w:t>
      </w:r>
      <w:proofErr w:type="spellStart"/>
      <w:r>
        <w:t>spéci</w:t>
      </w:r>
      <w:proofErr w:type="spellEnd"/>
      <w:r>
        <w:t xml:space="preserve"> = </w:t>
      </w:r>
      <w:proofErr w:type="spellStart"/>
      <w:r>
        <w:t>immunodosage</w:t>
      </w:r>
      <w:proofErr w:type="spellEnd"/>
      <w:r>
        <w:t xml:space="preserve"> spé</w:t>
      </w:r>
    </w:p>
    <w:p w:rsidR="001F05E7" w:rsidRDefault="001F05E7" w:rsidP="00046836">
      <w:pPr>
        <w:spacing w:after="0" w:line="240" w:lineRule="auto"/>
      </w:pPr>
      <w:proofErr w:type="spellStart"/>
      <w:r>
        <w:t>Ostéocalcine</w:t>
      </w:r>
      <w:proofErr w:type="spellEnd"/>
      <w:r>
        <w:t xml:space="preserve"> sérique : sensible et </w:t>
      </w:r>
      <w:proofErr w:type="spellStart"/>
      <w:r>
        <w:t>spéci</w:t>
      </w:r>
      <w:proofErr w:type="spellEnd"/>
      <w:r>
        <w:t xml:space="preserve"> ; dosage à heure fixe (rythme </w:t>
      </w:r>
      <w:proofErr w:type="spellStart"/>
      <w:r>
        <w:t>nychtéméral</w:t>
      </w:r>
      <w:proofErr w:type="spellEnd"/>
      <w:r>
        <w:t>)</w:t>
      </w:r>
    </w:p>
    <w:p w:rsidR="001F05E7" w:rsidRDefault="001F05E7" w:rsidP="00046836">
      <w:pPr>
        <w:spacing w:after="0" w:line="240" w:lineRule="auto"/>
      </w:pPr>
      <w:proofErr w:type="spellStart"/>
      <w:r>
        <w:t>Propeptide</w:t>
      </w:r>
      <w:proofErr w:type="spellEnd"/>
      <w:r>
        <w:t xml:space="preserve"> du collagène type I </w:t>
      </w:r>
    </w:p>
    <w:p w:rsidR="001F05E7" w:rsidRDefault="001F05E7" w:rsidP="00046836">
      <w:pPr>
        <w:spacing w:after="0" w:line="240" w:lineRule="auto"/>
      </w:pPr>
    </w:p>
    <w:p w:rsidR="001F05E7" w:rsidRDefault="001F05E7" w:rsidP="00046836">
      <w:pPr>
        <w:spacing w:after="0" w:line="240" w:lineRule="auto"/>
      </w:pPr>
      <w:r>
        <w:t xml:space="preserve">   • Marqueurs </w:t>
      </w:r>
      <w:proofErr w:type="spellStart"/>
      <w:r>
        <w:t>bioch</w:t>
      </w:r>
      <w:proofErr w:type="spellEnd"/>
      <w:r>
        <w:t xml:space="preserve"> de la résorption osseuse</w:t>
      </w:r>
    </w:p>
    <w:p w:rsidR="001F05E7" w:rsidRDefault="001F05E7" w:rsidP="00046836">
      <w:pPr>
        <w:spacing w:after="0" w:line="240" w:lineRule="auto"/>
      </w:pPr>
      <w:r>
        <w:t>Urines :</w:t>
      </w:r>
      <w:r>
        <w:tab/>
        <w:t>Calcium = peu sensible et peu spé</w:t>
      </w:r>
    </w:p>
    <w:p w:rsidR="001F05E7" w:rsidRDefault="001F05E7" w:rsidP="00046836">
      <w:pPr>
        <w:spacing w:after="0" w:line="240" w:lineRule="auto"/>
      </w:pPr>
      <w:r>
        <w:tab/>
      </w:r>
      <w:proofErr w:type="spellStart"/>
      <w:r>
        <w:t>Hydroxyproline</w:t>
      </w:r>
      <w:proofErr w:type="spellEnd"/>
      <w:r>
        <w:t xml:space="preserve"> = </w:t>
      </w:r>
      <w:proofErr w:type="spellStart"/>
      <w:r>
        <w:t>tx</w:t>
      </w:r>
      <w:proofErr w:type="spellEnd"/>
      <w:r>
        <w:t xml:space="preserve"> faiblement corrélé avec la résorption osseuse (10%) </w:t>
      </w:r>
    </w:p>
    <w:p w:rsidR="001F05E7" w:rsidRDefault="001F05E7" w:rsidP="00046836">
      <w:pPr>
        <w:spacing w:after="0" w:line="240" w:lineRule="auto"/>
      </w:pPr>
      <w:r>
        <w:tab/>
      </w:r>
      <w:r>
        <w:tab/>
        <w:t xml:space="preserve">  </w:t>
      </w:r>
      <w:r>
        <w:tab/>
        <w:t xml:space="preserve">    </w:t>
      </w:r>
      <w:proofErr w:type="gramStart"/>
      <w:r>
        <w:t>peu</w:t>
      </w:r>
      <w:proofErr w:type="gramEnd"/>
      <w:r>
        <w:t xml:space="preserve"> spé : alimentation, </w:t>
      </w:r>
      <w:proofErr w:type="spellStart"/>
      <w:r>
        <w:t>hypercatabo</w:t>
      </w:r>
      <w:proofErr w:type="spellEnd"/>
    </w:p>
    <w:p w:rsidR="001F05E7" w:rsidRDefault="001F05E7" w:rsidP="00046836">
      <w:pPr>
        <w:spacing w:after="0" w:line="240" w:lineRule="auto"/>
      </w:pPr>
      <w:r>
        <w:tab/>
      </w:r>
      <w:proofErr w:type="spellStart"/>
      <w:r>
        <w:t>Pyridinolines</w:t>
      </w:r>
      <w:proofErr w:type="spellEnd"/>
      <w:r>
        <w:t xml:space="preserve"> et </w:t>
      </w:r>
      <w:proofErr w:type="spellStart"/>
      <w:r>
        <w:t>desoxypiridinolines</w:t>
      </w:r>
      <w:proofErr w:type="spellEnd"/>
      <w:r>
        <w:t xml:space="preserve"> libres = spé du </w:t>
      </w:r>
      <w:proofErr w:type="gramStart"/>
      <w:r>
        <w:t>TO ,</w:t>
      </w:r>
      <w:proofErr w:type="gramEnd"/>
      <w:r>
        <w:t xml:space="preserve"> corrélation avec </w:t>
      </w:r>
      <w:proofErr w:type="spellStart"/>
      <w:r>
        <w:t>niv</w:t>
      </w:r>
      <w:proofErr w:type="spellEnd"/>
      <w:r>
        <w:t xml:space="preserve"> de remodelage osseux</w:t>
      </w:r>
    </w:p>
    <w:p w:rsidR="001F05E7" w:rsidRDefault="001F05E7" w:rsidP="00046836">
      <w:pPr>
        <w:spacing w:after="0" w:line="240" w:lineRule="auto"/>
      </w:pPr>
      <w:r>
        <w:lastRenderedPageBreak/>
        <w:tab/>
      </w:r>
      <w:proofErr w:type="spellStart"/>
      <w:r>
        <w:t>Télopeptides</w:t>
      </w:r>
      <w:proofErr w:type="spellEnd"/>
      <w:r>
        <w:t xml:space="preserve"> N (NTX) et C </w:t>
      </w:r>
      <w:proofErr w:type="spellStart"/>
      <w:r>
        <w:t>term</w:t>
      </w:r>
      <w:proofErr w:type="spellEnd"/>
      <w:r>
        <w:t xml:space="preserve"> (CTX) du collagène type I = sensibles, spé, utilisés </w:t>
      </w:r>
      <w:proofErr w:type="spellStart"/>
      <w:r>
        <w:t>pr</w:t>
      </w:r>
      <w:proofErr w:type="spellEnd"/>
      <w:r>
        <w:t xml:space="preserve"> suivi </w:t>
      </w:r>
      <w:proofErr w:type="spellStart"/>
      <w:r>
        <w:t>théra</w:t>
      </w:r>
      <w:proofErr w:type="spellEnd"/>
    </w:p>
    <w:p w:rsidR="001F05E7" w:rsidRDefault="001F05E7" w:rsidP="00046836">
      <w:pPr>
        <w:spacing w:after="0" w:line="240" w:lineRule="auto"/>
      </w:pPr>
      <w:r>
        <w:t xml:space="preserve">Sang : </w:t>
      </w:r>
      <w:proofErr w:type="spellStart"/>
      <w:r>
        <w:t>Pyridinolines</w:t>
      </w:r>
      <w:proofErr w:type="spellEnd"/>
      <w:r>
        <w:t xml:space="preserve"> et </w:t>
      </w:r>
      <w:proofErr w:type="spellStart"/>
      <w:r>
        <w:t>desoxypiridinolines</w:t>
      </w:r>
      <w:proofErr w:type="spellEnd"/>
      <w:r>
        <w:t xml:space="preserve"> libres </w:t>
      </w:r>
    </w:p>
    <w:p w:rsidR="001F05E7" w:rsidRDefault="001F05E7" w:rsidP="00046836">
      <w:pPr>
        <w:spacing w:after="0" w:line="240" w:lineRule="auto"/>
      </w:pPr>
      <w:r>
        <w:t xml:space="preserve">            Peptides </w:t>
      </w:r>
      <w:proofErr w:type="spellStart"/>
      <w:r>
        <w:t>assoc</w:t>
      </w:r>
      <w:proofErr w:type="spellEnd"/>
      <w:r>
        <w:t xml:space="preserve"> aux </w:t>
      </w:r>
      <w:proofErr w:type="spellStart"/>
      <w:r>
        <w:t>molé</w:t>
      </w:r>
      <w:proofErr w:type="spellEnd"/>
      <w:r>
        <w:t xml:space="preserve"> de pontage du collagène type I = CTX avec cross laps +++  et  NTX avec </w:t>
      </w:r>
      <w:proofErr w:type="spellStart"/>
      <w:r>
        <w:t>ostéomark</w:t>
      </w:r>
      <w:proofErr w:type="spellEnd"/>
    </w:p>
    <w:p w:rsidR="00651AD8" w:rsidRDefault="00651AD8" w:rsidP="00046836">
      <w:pPr>
        <w:spacing w:after="0" w:line="240" w:lineRule="auto"/>
      </w:pPr>
    </w:p>
    <w:p w:rsidR="00651AD8" w:rsidRDefault="00651AD8" w:rsidP="00046836">
      <w:pPr>
        <w:spacing w:after="0" w:line="240" w:lineRule="auto"/>
      </w:pPr>
      <w:r>
        <w:t xml:space="preserve">   • Conseils </w:t>
      </w:r>
      <w:proofErr w:type="spellStart"/>
      <w:r>
        <w:t>pr</w:t>
      </w:r>
      <w:proofErr w:type="spellEnd"/>
      <w:r>
        <w:t xml:space="preserve"> bonne utilisation des marqueurs osseux en pratique courante</w:t>
      </w:r>
    </w:p>
    <w:p w:rsidR="00651AD8" w:rsidRDefault="00651AD8" w:rsidP="00046836">
      <w:pPr>
        <w:spacing w:after="0" w:line="240" w:lineRule="auto"/>
      </w:pPr>
      <w:r>
        <w:t xml:space="preserve">Prendre en compte les sources de variabilité physio (âge, sexe, statut hormonal, </w:t>
      </w:r>
      <w:proofErr w:type="spellStart"/>
      <w:r>
        <w:t>fct</w:t>
      </w:r>
      <w:proofErr w:type="spellEnd"/>
      <w:r>
        <w:t xml:space="preserve"> </w:t>
      </w:r>
      <w:proofErr w:type="spellStart"/>
      <w:r>
        <w:t>hépa</w:t>
      </w:r>
      <w:proofErr w:type="spellEnd"/>
      <w:r>
        <w:t xml:space="preserve"> et rénale…)</w:t>
      </w:r>
    </w:p>
    <w:p w:rsidR="00651AD8" w:rsidRDefault="00651AD8" w:rsidP="00046836">
      <w:pPr>
        <w:spacing w:after="0" w:line="240" w:lineRule="auto"/>
      </w:pPr>
      <w:r>
        <w:t xml:space="preserve">Pr un même patient : pratiquer dosage </w:t>
      </w:r>
      <w:proofErr w:type="spellStart"/>
      <w:r>
        <w:t>ds</w:t>
      </w:r>
      <w:proofErr w:type="spellEnd"/>
      <w:r>
        <w:t xml:space="preserve"> même labo</w:t>
      </w:r>
    </w:p>
    <w:p w:rsidR="00651AD8" w:rsidRDefault="00651AD8" w:rsidP="00046836">
      <w:pPr>
        <w:spacing w:after="0" w:line="240" w:lineRule="auto"/>
      </w:pPr>
      <w:r>
        <w:t>Marqueurs sériques doivent être dosés avant 9h à jeun</w:t>
      </w:r>
    </w:p>
    <w:p w:rsidR="00651AD8" w:rsidRDefault="00651AD8" w:rsidP="00046836">
      <w:pPr>
        <w:spacing w:after="0" w:line="240" w:lineRule="auto"/>
      </w:pPr>
      <w:r>
        <w:t>Marqueurs urinaires doivent être dosés le matin à jeun sur 1</w:t>
      </w:r>
      <w:r>
        <w:rPr>
          <w:vertAlign w:val="superscript"/>
        </w:rPr>
        <w:t>st</w:t>
      </w:r>
      <w:r>
        <w:t xml:space="preserve"> ou 2</w:t>
      </w:r>
      <w:r w:rsidRPr="00651AD8">
        <w:rPr>
          <w:vertAlign w:val="superscript"/>
        </w:rPr>
        <w:t>nd</w:t>
      </w:r>
      <w:r>
        <w:t xml:space="preserve"> miction</w:t>
      </w:r>
    </w:p>
    <w:p w:rsidR="00651AD8" w:rsidRDefault="00651AD8" w:rsidP="00046836">
      <w:pPr>
        <w:spacing w:after="0" w:line="240" w:lineRule="auto"/>
      </w:pPr>
      <w:r>
        <w:t>Bilan à interpréter avec précaution si fracture récente</w:t>
      </w:r>
    </w:p>
    <w:p w:rsidR="00651AD8" w:rsidRDefault="00651AD8" w:rsidP="00046836">
      <w:pPr>
        <w:spacing w:after="0" w:line="240" w:lineRule="auto"/>
      </w:pPr>
      <w:r>
        <w:t xml:space="preserve">Proscrire dosage de </w:t>
      </w:r>
      <w:proofErr w:type="spellStart"/>
      <w:r>
        <w:t>ostéocalcine</w:t>
      </w:r>
      <w:proofErr w:type="spellEnd"/>
      <w:r>
        <w:t xml:space="preserve"> si </w:t>
      </w:r>
      <w:proofErr w:type="spellStart"/>
      <w:r>
        <w:t>insuffi</w:t>
      </w:r>
      <w:proofErr w:type="spellEnd"/>
      <w:r>
        <w:t xml:space="preserve"> rénale</w:t>
      </w:r>
    </w:p>
    <w:p w:rsidR="00651AD8" w:rsidRDefault="00651AD8" w:rsidP="00046836">
      <w:pPr>
        <w:spacing w:after="0" w:line="240" w:lineRule="auto"/>
      </w:pPr>
    </w:p>
    <w:p w:rsidR="00651AD8" w:rsidRDefault="00651AD8" w:rsidP="00651AD8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Les principales maladies osseuses</w:t>
      </w:r>
    </w:p>
    <w:p w:rsidR="00651AD8" w:rsidRDefault="00651AD8" w:rsidP="00651AD8">
      <w:pPr>
        <w:spacing w:after="0" w:line="240" w:lineRule="auto"/>
      </w:pPr>
      <w:r>
        <w:rPr>
          <w:b/>
        </w:rPr>
        <w:t xml:space="preserve">   </w:t>
      </w:r>
      <w:r>
        <w:t>• L’ostéoporose</w:t>
      </w:r>
    </w:p>
    <w:p w:rsidR="00651AD8" w:rsidRDefault="00651AD8" w:rsidP="00651AD8">
      <w:pPr>
        <w:spacing w:after="0" w:line="240" w:lineRule="auto"/>
      </w:pPr>
      <w:r>
        <w:t xml:space="preserve">= maladie systémique du squelette caractérisée par ↘ masse osseuse </w:t>
      </w:r>
      <w:proofErr w:type="spellStart"/>
      <w:r>
        <w:t>assoc</w:t>
      </w:r>
      <w:proofErr w:type="spellEnd"/>
      <w:r>
        <w:t xml:space="preserve"> à </w:t>
      </w:r>
      <w:proofErr w:type="spellStart"/>
      <w:r>
        <w:t>modif</w:t>
      </w:r>
      <w:proofErr w:type="spellEnd"/>
      <w:r>
        <w:t xml:space="preserve"> de l’architecture osseuse </w:t>
      </w:r>
    </w:p>
    <w:p w:rsidR="00651AD8" w:rsidRDefault="00651AD8" w:rsidP="00651AD8">
      <w:pPr>
        <w:spacing w:after="0" w:line="240" w:lineRule="auto"/>
      </w:pPr>
      <w:r>
        <w:tab/>
      </w:r>
      <w:r>
        <w:tab/>
        <w:t>-&gt;risque de fracture accru</w:t>
      </w:r>
    </w:p>
    <w:p w:rsidR="004B72F5" w:rsidRDefault="004B72F5" w:rsidP="00651AD8">
      <w:pPr>
        <w:spacing w:after="0" w:line="240" w:lineRule="auto"/>
      </w:pPr>
      <w:proofErr w:type="gramStart"/>
      <w:r>
        <w:t>ostéoporose</w:t>
      </w:r>
      <w:proofErr w:type="gramEnd"/>
      <w:r>
        <w:t xml:space="preserve"> primitive = ménopause, vieillissement</w:t>
      </w:r>
      <w:r>
        <w:tab/>
        <w:t xml:space="preserve">≠       ostéoporose secondaire = </w:t>
      </w:r>
      <w:proofErr w:type="spellStart"/>
      <w:r>
        <w:t>ttt</w:t>
      </w:r>
      <w:proofErr w:type="spellEnd"/>
      <w:r>
        <w:t xml:space="preserve"> (corticothérapie) ou maladie (Cushing)</w:t>
      </w:r>
    </w:p>
    <w:p w:rsidR="00651AD8" w:rsidRDefault="00651AD8" w:rsidP="00651AD8">
      <w:pPr>
        <w:spacing w:after="0" w:line="240" w:lineRule="auto"/>
      </w:pPr>
      <w:r>
        <w:rPr>
          <w:noProof/>
          <w:lang w:eastAsia="fr-FR"/>
        </w:rPr>
        <w:pict>
          <v:shape id="_x0000_s1028" type="#_x0000_t202" style="position:absolute;margin-left:267.05pt;margin-top:3.05pt;width:306.85pt;height:222pt;z-index:251660288;mso-wrap-style:none">
            <v:textbox>
              <w:txbxContent>
                <w:p w:rsidR="00651AD8" w:rsidRDefault="00651AD8">
                  <w:r w:rsidRPr="00651AD8">
                    <w:object w:dxaOrig="7202" w:dyaOrig="539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291.75pt;height:218.25pt" o:ole="">
                        <v:imagedata r:id="rId7" o:title=""/>
                      </v:shape>
                      <o:OLEObject Type="Embed" ProgID="PowerPoint.Template.12" ShapeID="_x0000_i1027" DrawAspect="Content" ObjectID="_1337180234" r:id="rId8"/>
                    </w:object>
                  </w:r>
                </w:p>
              </w:txbxContent>
            </v:textbox>
          </v:shape>
        </w:pict>
      </w:r>
    </w:p>
    <w:p w:rsidR="00651AD8" w:rsidRPr="00651AD8" w:rsidRDefault="00651AD8" w:rsidP="00651AD8">
      <w:pPr>
        <w:spacing w:after="0" w:line="240" w:lineRule="auto"/>
      </w:pPr>
      <w:r w:rsidRPr="00651AD8">
        <w:object w:dxaOrig="7202" w:dyaOrig="5398">
          <v:shape id="_x0000_i1025" type="#_x0000_t75" style="width:261.75pt;height:196.5pt" o:ole="">
            <v:imagedata r:id="rId9" o:title=""/>
          </v:shape>
          <o:OLEObject Type="Embed" ProgID="PowerPoint.Template.12" ShapeID="_x0000_i1025" DrawAspect="Content" ObjectID="_1337180232" r:id="rId10"/>
        </w:object>
      </w:r>
    </w:p>
    <w:p w:rsidR="00046836" w:rsidRDefault="00046836" w:rsidP="00DA3FD9">
      <w:pPr>
        <w:spacing w:after="0" w:line="240" w:lineRule="auto"/>
      </w:pPr>
    </w:p>
    <w:p w:rsidR="004B72F5" w:rsidRDefault="004B72F5" w:rsidP="00DA3FD9">
      <w:pPr>
        <w:spacing w:after="0" w:line="240" w:lineRule="auto"/>
      </w:pPr>
      <w:r>
        <w:t xml:space="preserve">Intérêt des marqueurs : aucun </w:t>
      </w:r>
      <w:proofErr w:type="spellStart"/>
      <w:r>
        <w:t>pr</w:t>
      </w:r>
      <w:proofErr w:type="spellEnd"/>
      <w:r>
        <w:t xml:space="preserve"> le </w:t>
      </w:r>
      <w:proofErr w:type="spellStart"/>
      <w:r>
        <w:t>diag</w:t>
      </w:r>
      <w:proofErr w:type="spellEnd"/>
      <w:r>
        <w:t xml:space="preserve">  (DMO +++)    DMO = densité minérale osseuse</w:t>
      </w:r>
    </w:p>
    <w:p w:rsidR="004B72F5" w:rsidRDefault="004B72F5" w:rsidP="00DA3FD9">
      <w:pPr>
        <w:spacing w:after="0" w:line="240" w:lineRule="auto"/>
      </w:pPr>
      <w:r>
        <w:tab/>
      </w:r>
      <w:r>
        <w:tab/>
      </w:r>
      <w:r>
        <w:tab/>
        <w:t xml:space="preserve"> </w:t>
      </w:r>
      <w:proofErr w:type="spellStart"/>
      <w:proofErr w:type="gramStart"/>
      <w:r>
        <w:t>éval</w:t>
      </w:r>
      <w:proofErr w:type="spellEnd"/>
      <w:proofErr w:type="gramEnd"/>
      <w:r>
        <w:t xml:space="preserve"> du risque de fracture  (avec CTX et NTX)</w:t>
      </w:r>
    </w:p>
    <w:p w:rsidR="004B72F5" w:rsidRDefault="004B72F5" w:rsidP="00DA3FD9">
      <w:pPr>
        <w:spacing w:after="0" w:line="240" w:lineRule="auto"/>
      </w:pPr>
      <w:r>
        <w:tab/>
      </w:r>
      <w:r>
        <w:tab/>
      </w:r>
      <w:r>
        <w:tab/>
        <w:t xml:space="preserve"> </w:t>
      </w:r>
      <w:proofErr w:type="spellStart"/>
      <w:proofErr w:type="gramStart"/>
      <w:r>
        <w:t>éfficacité</w:t>
      </w:r>
      <w:proofErr w:type="spellEnd"/>
      <w:proofErr w:type="gramEnd"/>
      <w:r>
        <w:t xml:space="preserve"> </w:t>
      </w:r>
      <w:proofErr w:type="spellStart"/>
      <w:r>
        <w:t>théra</w:t>
      </w:r>
      <w:proofErr w:type="spellEnd"/>
      <w:r>
        <w:t xml:space="preserve">  (avec CTX, NTX et marqueurs de formation)</w:t>
      </w:r>
    </w:p>
    <w:p w:rsidR="004B72F5" w:rsidRDefault="004B72F5" w:rsidP="00DA3FD9">
      <w:pPr>
        <w:spacing w:after="0" w:line="240" w:lineRule="auto"/>
      </w:pPr>
      <w:r>
        <w:tab/>
        <w:t xml:space="preserve">=&gt;le même marqueur doit </w:t>
      </w:r>
      <w:proofErr w:type="spellStart"/>
      <w:r>
        <w:t>tjr</w:t>
      </w:r>
      <w:proofErr w:type="spellEnd"/>
      <w:r>
        <w:t xml:space="preserve"> être utilisé </w:t>
      </w:r>
      <w:proofErr w:type="spellStart"/>
      <w:r>
        <w:t>pr</w:t>
      </w:r>
      <w:proofErr w:type="spellEnd"/>
      <w:r>
        <w:t xml:space="preserve"> suivre un </w:t>
      </w:r>
      <w:proofErr w:type="spellStart"/>
      <w:r>
        <w:t>ttt</w:t>
      </w:r>
      <w:proofErr w:type="spellEnd"/>
      <w:r>
        <w:t xml:space="preserve"> chez un patient donné</w:t>
      </w:r>
    </w:p>
    <w:p w:rsidR="004B72F5" w:rsidRDefault="004B72F5" w:rsidP="004B72F5">
      <w:pPr>
        <w:spacing w:after="0" w:line="240" w:lineRule="auto"/>
      </w:pPr>
    </w:p>
    <w:p w:rsidR="004B72F5" w:rsidRDefault="004B72F5" w:rsidP="004B72F5">
      <w:pPr>
        <w:spacing w:after="0" w:line="240" w:lineRule="auto"/>
      </w:pPr>
      <w:r>
        <w:t xml:space="preserve">   • La maladie osseuse de Paget</w:t>
      </w:r>
      <w:r w:rsidR="000F5042">
        <w:tab/>
      </w:r>
      <w:r w:rsidR="000F5042">
        <w:tab/>
      </w:r>
      <w:r w:rsidR="000F5042">
        <w:tab/>
      </w:r>
      <w:r w:rsidR="000F5042">
        <w:tab/>
      </w:r>
      <w:r w:rsidR="000F5042">
        <w:tab/>
        <w:t>• L’hyperparathyroïdie primaire</w:t>
      </w:r>
    </w:p>
    <w:p w:rsidR="004B72F5" w:rsidRDefault="000F5042" w:rsidP="004B72F5">
      <w:pPr>
        <w:spacing w:after="0" w:line="240" w:lineRule="auto"/>
      </w:pPr>
      <w:r>
        <w:rPr>
          <w:noProof/>
          <w:lang w:eastAsia="fr-FR"/>
        </w:rPr>
        <w:pict>
          <v:shape id="_x0000_s1029" type="#_x0000_t202" style="position:absolute;margin-left:267.05pt;margin-top:.25pt;width:306.85pt;height:196.5pt;z-index:251661312">
            <v:textbox>
              <w:txbxContent>
                <w:p w:rsidR="000F5042" w:rsidRDefault="000F5042">
                  <w:r w:rsidRPr="000F5042">
                    <w:object w:dxaOrig="7202" w:dyaOrig="5398">
                      <v:shape id="_x0000_i1028" type="#_x0000_t75" style="width:291.75pt;height:218.25pt" o:ole="">
                        <v:imagedata r:id="rId11" o:title=""/>
                      </v:shape>
                      <o:OLEObject Type="Embed" ProgID="PowerPoint.Template.12" ShapeID="_x0000_i1028" DrawAspect="Content" ObjectID="_1337180235" r:id="rId12"/>
                    </w:object>
                  </w:r>
                </w:p>
              </w:txbxContent>
            </v:textbox>
          </v:shape>
        </w:pict>
      </w:r>
      <w:r w:rsidR="004B72F5" w:rsidRPr="004B72F5">
        <w:object w:dxaOrig="7202" w:dyaOrig="5398">
          <v:shape id="_x0000_i1026" type="#_x0000_t75" style="width:264.75pt;height:198.75pt" o:ole="">
            <v:imagedata r:id="rId13" o:title=""/>
          </v:shape>
          <o:OLEObject Type="Embed" ProgID="PowerPoint.Template.12" ShapeID="_x0000_i1026" DrawAspect="Content" ObjectID="_1337180233" r:id="rId14"/>
        </w:object>
      </w:r>
    </w:p>
    <w:p w:rsidR="004B72F5" w:rsidRDefault="004B72F5" w:rsidP="004B72F5">
      <w:pPr>
        <w:spacing w:after="0" w:line="240" w:lineRule="auto"/>
      </w:pPr>
    </w:p>
    <w:p w:rsidR="000F5042" w:rsidRDefault="000F5042" w:rsidP="004B72F5">
      <w:pPr>
        <w:spacing w:after="0" w:line="240" w:lineRule="auto"/>
      </w:pPr>
      <w:r>
        <w:t xml:space="preserve">  • Autres maladies : invasion métastatique des os (sein, prostate) ; ostéomalacie (anomalie de la minéralisation) ; intox à la vit D</w:t>
      </w:r>
    </w:p>
    <w:p w:rsidR="000F5042" w:rsidRDefault="000F5042" w:rsidP="004B72F5">
      <w:pPr>
        <w:spacing w:after="0" w:line="240" w:lineRule="auto"/>
      </w:pPr>
    </w:p>
    <w:p w:rsidR="000F5042" w:rsidRDefault="000F5042" w:rsidP="004B72F5">
      <w:pPr>
        <w:spacing w:after="0" w:line="240" w:lineRule="auto"/>
      </w:pPr>
    </w:p>
    <w:p w:rsidR="004B72F5" w:rsidRDefault="004B72F5" w:rsidP="004B72F5">
      <w:pPr>
        <w:spacing w:after="0" w:line="240" w:lineRule="auto"/>
      </w:pPr>
    </w:p>
    <w:sectPr w:rsidR="004B72F5" w:rsidSect="006D6EF8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2A1F"/>
    <w:multiLevelType w:val="hybridMultilevel"/>
    <w:tmpl w:val="6F26971A"/>
    <w:lvl w:ilvl="0" w:tplc="4AE22F92">
      <w:start w:val="4"/>
      <w:numFmt w:val="bullet"/>
      <w:lvlText w:val=""/>
      <w:lvlJc w:val="left"/>
      <w:pPr>
        <w:ind w:left="49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062E3F9D"/>
    <w:multiLevelType w:val="hybridMultilevel"/>
    <w:tmpl w:val="70144A1C"/>
    <w:lvl w:ilvl="0" w:tplc="14961F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99176AB"/>
    <w:multiLevelType w:val="hybridMultilevel"/>
    <w:tmpl w:val="221A9594"/>
    <w:lvl w:ilvl="0" w:tplc="FDCAB3E0">
      <w:start w:val="4"/>
      <w:numFmt w:val="bullet"/>
      <w:lvlText w:val=""/>
      <w:lvlJc w:val="left"/>
      <w:pPr>
        <w:ind w:left="49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6EF8"/>
    <w:rsid w:val="00046836"/>
    <w:rsid w:val="00064643"/>
    <w:rsid w:val="000F5042"/>
    <w:rsid w:val="001F05E7"/>
    <w:rsid w:val="004B72F5"/>
    <w:rsid w:val="00651AD8"/>
    <w:rsid w:val="006C204F"/>
    <w:rsid w:val="006D6EF8"/>
    <w:rsid w:val="00991F4D"/>
    <w:rsid w:val="00B50B1A"/>
    <w:rsid w:val="00DA3FD9"/>
    <w:rsid w:val="00E97E8A"/>
    <w:rsid w:val="00F4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643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D6EF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A3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3F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od_le_Microsoft_Office_PowerPoint_20071.sldx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package" Target="embeddings/Mod_le_Microsoft_Office_PowerPoint_20073.sl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package" Target="embeddings/Mod_le_Microsoft_Office_PowerPoint_20072.sldx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package" Target="embeddings/Mod_le_Microsoft_Office_PowerPoint_20074.sl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712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2010-06-04T14:22:00Z</dcterms:created>
  <dcterms:modified xsi:type="dcterms:W3CDTF">2010-06-04T16:11:00Z</dcterms:modified>
</cp:coreProperties>
</file>